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A9920" w14:textId="18E664A3" w:rsidR="00F4045B" w:rsidRPr="00C720AD" w:rsidRDefault="00A07F0D">
      <w:pPr>
        <w:rPr>
          <w:rFonts w:ascii="UD デジタル 教科書体 NP-R" w:eastAsia="UD デジタル 教科書体 NP-R" w:hAnsiTheme="minorEastAsia"/>
          <w:b/>
          <w:sz w:val="28"/>
          <w:szCs w:val="28"/>
        </w:rPr>
      </w:pPr>
      <w:bookmarkStart w:id="0" w:name="_GoBack"/>
      <w:bookmarkEnd w:id="0"/>
      <w:r w:rsidRPr="002917A4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「考察</w:t>
      </w:r>
      <w:r w:rsidR="00C720AD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 xml:space="preserve">・推論」の過程におけるルーブリック　</w:t>
      </w:r>
      <w:r w:rsidR="002917A4">
        <w:rPr>
          <w:rFonts w:ascii="UD デジタル 教科書体 NP-R" w:eastAsia="UD デジタル 教科書体 NP-R" w:hAnsiTheme="minorEastAsia"/>
          <w:b/>
          <w:sz w:val="28"/>
          <w:szCs w:val="28"/>
        </w:rPr>
        <w:t xml:space="preserve">　　　　　　</w:t>
      </w:r>
      <w:r w:rsidR="00976A26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 xml:space="preserve">　</w:t>
      </w:r>
      <w:r w:rsidR="00C720AD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 xml:space="preserve">　</w:t>
      </w:r>
      <w:r w:rsidR="002917A4" w:rsidRPr="002917A4">
        <w:rPr>
          <w:rFonts w:ascii="UD デジタル 教科書体 NP-R" w:eastAsia="UD デジタル 教科書体 NP-R" w:hAnsiTheme="minorEastAsia"/>
          <w:b/>
          <w:sz w:val="24"/>
          <w:szCs w:val="28"/>
          <w:u w:val="single"/>
        </w:rPr>
        <w:t xml:space="preserve">　年　　</w:t>
      </w:r>
      <w:r w:rsidR="00976A26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 xml:space="preserve">　</w:t>
      </w:r>
      <w:r w:rsidR="002917A4" w:rsidRPr="002917A4">
        <w:rPr>
          <w:rFonts w:ascii="UD デジタル 教科書体 NP-R" w:eastAsia="UD デジタル 教科書体 NP-R" w:hAnsiTheme="minorEastAsia"/>
          <w:b/>
          <w:sz w:val="24"/>
          <w:szCs w:val="28"/>
          <w:u w:val="single"/>
        </w:rPr>
        <w:t xml:space="preserve">組　</w:t>
      </w:r>
      <w:r w:rsidR="00976A26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 xml:space="preserve">　</w:t>
      </w:r>
      <w:r w:rsidR="002917A4" w:rsidRPr="002917A4">
        <w:rPr>
          <w:rFonts w:ascii="UD デジタル 教科書体 NP-R" w:eastAsia="UD デジタル 教科書体 NP-R" w:hAnsiTheme="minorEastAsia"/>
          <w:b/>
          <w:sz w:val="24"/>
          <w:szCs w:val="28"/>
          <w:u w:val="single"/>
        </w:rPr>
        <w:t xml:space="preserve">　</w:t>
      </w:r>
      <w:r w:rsidR="002917A4" w:rsidRPr="002917A4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>番</w:t>
      </w:r>
      <w:r w:rsidR="002917A4" w:rsidRPr="002917A4">
        <w:rPr>
          <w:rFonts w:ascii="UD デジタル 教科書体 NP-R" w:eastAsia="UD デジタル 教科書体 NP-R" w:hAnsiTheme="minorEastAsia"/>
          <w:b/>
          <w:sz w:val="24"/>
          <w:szCs w:val="28"/>
          <w:u w:val="single"/>
        </w:rPr>
        <w:t xml:space="preserve">　</w:t>
      </w:r>
      <w:r w:rsidR="00ED731A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>氏名</w:t>
      </w:r>
      <w:r w:rsidR="002917A4">
        <w:rPr>
          <w:rFonts w:ascii="UD デジタル 教科書体 NP-R" w:eastAsia="UD デジタル 教科書体 NP-R" w:hAnsiTheme="minorEastAsia" w:hint="eastAsia"/>
          <w:b/>
          <w:sz w:val="24"/>
          <w:szCs w:val="28"/>
          <w:u w:val="single"/>
        </w:rPr>
        <w:t xml:space="preserve">　</w:t>
      </w:r>
      <w:r w:rsidR="002917A4">
        <w:rPr>
          <w:rFonts w:ascii="UD デジタル 教科書体 NP-R" w:eastAsia="UD デジタル 教科書体 NP-R" w:hAnsiTheme="minorEastAsia"/>
          <w:b/>
          <w:sz w:val="24"/>
          <w:szCs w:val="28"/>
          <w:u w:val="single"/>
        </w:rPr>
        <w:t xml:space="preserve">　　　　　　　　　　　　　　　　</w:t>
      </w:r>
    </w:p>
    <w:tbl>
      <w:tblPr>
        <w:tblStyle w:val="a3"/>
        <w:tblW w:w="15173" w:type="dxa"/>
        <w:jc w:val="center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7"/>
        <w:gridCol w:w="3334"/>
        <w:gridCol w:w="3334"/>
        <w:gridCol w:w="3334"/>
        <w:gridCol w:w="3334"/>
      </w:tblGrid>
      <w:tr w:rsidR="00C720AD" w14:paraId="06820521" w14:textId="77777777" w:rsidTr="006B0CEA">
        <w:trPr>
          <w:trHeight w:hRule="exact" w:val="567"/>
          <w:jc w:val="center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4A4F843" w14:textId="77777777" w:rsidR="00FE5A4B" w:rsidRDefault="00C720AD" w:rsidP="00BE1A5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</w:rPr>
            </w:pPr>
            <w:bookmarkStart w:id="1" w:name="_Hlk9217255"/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</w:rPr>
              <w:t>「考察</w:t>
            </w:r>
            <w:r w:rsidR="00FE5A4B">
              <w:rPr>
                <w:rFonts w:ascii="UD デジタル 教科書体 NP-R" w:eastAsia="UD デジタル 教科書体 NP-R" w:hint="eastAsia"/>
                <w:b/>
                <w:bCs/>
                <w:sz w:val="22"/>
              </w:rPr>
              <w:t>・推論</w:t>
            </w:r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</w:rPr>
              <w:t>」</w:t>
            </w:r>
          </w:p>
          <w:p w14:paraId="7025A1C8" w14:textId="27D505D9" w:rsidR="00C720AD" w:rsidRPr="002917A4" w:rsidRDefault="00C720AD" w:rsidP="00FE5A4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</w:rPr>
            </w:pPr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</w:rPr>
              <w:t>の観点</w:t>
            </w:r>
          </w:p>
        </w:tc>
        <w:tc>
          <w:tcPr>
            <w:tcW w:w="333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32CD8CB" w14:textId="690B7915" w:rsidR="00C720AD" w:rsidRPr="002917A4" w:rsidRDefault="00C720AD" w:rsidP="002917A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2917A4">
              <w:rPr>
                <w:rFonts w:ascii="Times New Roman" w:hAnsi="Times New Roman" w:cs="Times New Roman"/>
                <w:b/>
                <w:bCs/>
                <w:sz w:val="32"/>
              </w:rPr>
              <w:t>A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〔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４点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〕</w:t>
            </w:r>
          </w:p>
        </w:tc>
        <w:tc>
          <w:tcPr>
            <w:tcW w:w="333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F575A0" w14:textId="15FF5A44" w:rsidR="00C720AD" w:rsidRPr="002917A4" w:rsidRDefault="00C720AD" w:rsidP="002917A4">
            <w:pPr>
              <w:jc w:val="center"/>
              <w:rPr>
                <w:b/>
                <w:bCs/>
                <w:sz w:val="32"/>
              </w:rPr>
            </w:pPr>
            <w:r w:rsidRPr="002917A4">
              <w:rPr>
                <w:rFonts w:ascii="Times New Roman" w:hAnsi="Times New Roman" w:cs="Times New Roman"/>
                <w:b/>
                <w:bCs/>
                <w:sz w:val="32"/>
              </w:rPr>
              <w:t>B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〔３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点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〕</w:t>
            </w:r>
          </w:p>
        </w:tc>
        <w:tc>
          <w:tcPr>
            <w:tcW w:w="333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5B67CA3" w14:textId="6ABDE630" w:rsidR="00C720AD" w:rsidRPr="002917A4" w:rsidRDefault="00C720AD" w:rsidP="002917A4">
            <w:pPr>
              <w:jc w:val="center"/>
              <w:rPr>
                <w:b/>
                <w:bCs/>
                <w:sz w:val="32"/>
              </w:rPr>
            </w:pPr>
            <w:r w:rsidRPr="002917A4">
              <w:rPr>
                <w:rFonts w:ascii="Times New Roman" w:hAnsi="Times New Roman" w:cs="Times New Roman"/>
                <w:b/>
                <w:bCs/>
                <w:sz w:val="32"/>
              </w:rPr>
              <w:t>C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〔２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点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〕</w:t>
            </w:r>
          </w:p>
        </w:tc>
        <w:tc>
          <w:tcPr>
            <w:tcW w:w="333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817075B" w14:textId="16E93F10" w:rsidR="00C720AD" w:rsidRPr="002917A4" w:rsidRDefault="00C720AD" w:rsidP="002917A4">
            <w:pPr>
              <w:jc w:val="center"/>
              <w:rPr>
                <w:b/>
                <w:bCs/>
                <w:sz w:val="32"/>
              </w:rPr>
            </w:pPr>
            <w:r w:rsidRPr="002917A4">
              <w:rPr>
                <w:rFonts w:ascii="Times New Roman" w:hAnsi="Times New Roman" w:cs="Times New Roman"/>
                <w:b/>
                <w:bCs/>
                <w:sz w:val="32"/>
              </w:rPr>
              <w:t>D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〔１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点</w:t>
            </w:r>
            <w:r>
              <w:rPr>
                <w:rFonts w:ascii="Times New Roman" w:hAnsi="Times New Roman" w:cs="Times New Roman" w:hint="eastAsia"/>
                <w:b/>
                <w:bCs/>
                <w:sz w:val="32"/>
              </w:rPr>
              <w:t>〕</w:t>
            </w:r>
          </w:p>
        </w:tc>
      </w:tr>
      <w:tr w:rsidR="00800C8B" w:rsidRPr="00A07F0D" w14:paraId="6C449B71" w14:textId="77777777" w:rsidTr="00F86537">
        <w:trPr>
          <w:trHeight w:val="1599"/>
          <w:jc w:val="center"/>
        </w:trPr>
        <w:tc>
          <w:tcPr>
            <w:tcW w:w="18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7B5123" w14:textId="691B893F" w:rsidR="00800C8B" w:rsidRPr="002917A4" w:rsidRDefault="00800C8B" w:rsidP="00800C8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  <w:szCs w:val="21"/>
              </w:rPr>
            </w:pPr>
            <w:bookmarkStart w:id="2" w:name="_Hlk9999820"/>
            <w:bookmarkStart w:id="3" w:name="_Hlk9209830"/>
            <w:bookmarkEnd w:id="1"/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  <w:szCs w:val="21"/>
              </w:rPr>
              <w:t>図の活用</w:t>
            </w:r>
          </w:p>
        </w:tc>
        <w:tc>
          <w:tcPr>
            <w:tcW w:w="33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F6A17BF" w14:textId="41622F44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szCs w:val="21"/>
              </w:rPr>
            </w:pPr>
            <w:bookmarkStart w:id="4" w:name="_Hlk50964688"/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ネオジム磁石に金属円板が近づく場合、遠ざかる場合に分けて、渦電流が磁界から受ける力について図示するとともに、説明することができている。</w:t>
            </w:r>
            <w:bookmarkEnd w:id="4"/>
          </w:p>
        </w:tc>
        <w:tc>
          <w:tcPr>
            <w:tcW w:w="33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41DF425" w14:textId="6EBC10CD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szCs w:val="21"/>
              </w:rPr>
            </w:pPr>
            <w:bookmarkStart w:id="5" w:name="_Hlk50964724"/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ネオジム磁石に金属円板が近づく場合、遠ざかる場合に分けて、渦電流が磁界から受ける力を図示できている。</w:t>
            </w:r>
            <w:bookmarkEnd w:id="5"/>
          </w:p>
        </w:tc>
        <w:tc>
          <w:tcPr>
            <w:tcW w:w="33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C2C0FBA" w14:textId="3FDD8527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szCs w:val="21"/>
              </w:rPr>
            </w:pPr>
            <w:bookmarkStart w:id="6" w:name="_Hlk50964856"/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ネオジム磁石の一様磁界中に金属円板が近づく場合、遠ざかる場合に分けて渦電流を図示できている。</w:t>
            </w:r>
            <w:bookmarkEnd w:id="6"/>
          </w:p>
        </w:tc>
        <w:tc>
          <w:tcPr>
            <w:tcW w:w="33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7A19100" w14:textId="304A0C99" w:rsidR="00800C8B" w:rsidRPr="00ED731A" w:rsidRDefault="00800C8B" w:rsidP="00800C8B">
            <w:pPr>
              <w:spacing w:line="240" w:lineRule="exact"/>
              <w:rPr>
                <w:szCs w:val="21"/>
              </w:rPr>
            </w:pPr>
            <w:bookmarkStart w:id="7" w:name="_Hlk50965005"/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金属円板に流れる渦電流を図示できている。</w:t>
            </w:r>
            <w:bookmarkEnd w:id="7"/>
          </w:p>
        </w:tc>
      </w:tr>
      <w:tr w:rsidR="00800C8B" w14:paraId="6DB945C0" w14:textId="77777777" w:rsidTr="00F86537">
        <w:trPr>
          <w:trHeight w:val="1599"/>
          <w:jc w:val="center"/>
        </w:trPr>
        <w:tc>
          <w:tcPr>
            <w:tcW w:w="1837" w:type="dxa"/>
            <w:vAlign w:val="center"/>
          </w:tcPr>
          <w:p w14:paraId="7E77C996" w14:textId="626C9C34" w:rsidR="00800C8B" w:rsidRPr="002917A4" w:rsidRDefault="00800C8B" w:rsidP="00800C8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  <w:szCs w:val="21"/>
              </w:rPr>
            </w:pPr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  <w:szCs w:val="21"/>
              </w:rPr>
              <w:t>数式の活用</w:t>
            </w:r>
          </w:p>
        </w:tc>
        <w:tc>
          <w:tcPr>
            <w:tcW w:w="3334" w:type="dxa"/>
            <w:shd w:val="clear" w:color="auto" w:fill="auto"/>
          </w:tcPr>
          <w:p w14:paraId="547D77FA" w14:textId="23D224D9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「抵抗と抵抗率の関係を表す式」「オームの法則」の公式と実験値を関連付け、３種類の金属円板の運動の様子について説明することができている。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6C708EA7" w14:textId="4FDC5573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「抵抗と抵抗率の関係を表す式」「オームの法則」の公式を用いて、金属円板の運動の様子について説明することができている。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351D9EE5" w14:textId="52C6F498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「抵抗と抵抗率の関係を表す式」「オームの法則」の公式を示すことができている。</w:t>
            </w:r>
          </w:p>
        </w:tc>
        <w:tc>
          <w:tcPr>
            <w:tcW w:w="3334" w:type="dxa"/>
            <w:shd w:val="clear" w:color="auto" w:fill="auto"/>
          </w:tcPr>
          <w:p w14:paraId="4C658557" w14:textId="35A24090" w:rsidR="00800C8B" w:rsidRPr="00ED731A" w:rsidRDefault="00800C8B" w:rsidP="00800C8B">
            <w:pPr>
              <w:spacing w:line="240" w:lineRule="exact"/>
              <w:rPr>
                <w:color w:val="000000" w:themeColor="text1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電磁誘導について公式を示すことができている。</w:t>
            </w:r>
          </w:p>
        </w:tc>
      </w:tr>
      <w:tr w:rsidR="00800C8B" w14:paraId="714AD9C6" w14:textId="77777777" w:rsidTr="00480350">
        <w:trPr>
          <w:trHeight w:val="1599"/>
          <w:jc w:val="center"/>
        </w:trPr>
        <w:tc>
          <w:tcPr>
            <w:tcW w:w="1837" w:type="dxa"/>
            <w:vAlign w:val="center"/>
          </w:tcPr>
          <w:p w14:paraId="697E72DB" w14:textId="1AC7987A" w:rsidR="00800C8B" w:rsidRPr="002917A4" w:rsidRDefault="00800C8B" w:rsidP="00800C8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  <w:szCs w:val="21"/>
              </w:rPr>
            </w:pPr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  <w:szCs w:val="21"/>
              </w:rPr>
              <w:t>根拠の明確化</w:t>
            </w:r>
          </w:p>
          <w:p w14:paraId="022A11D4" w14:textId="77777777" w:rsidR="00800C8B" w:rsidRPr="002917A4" w:rsidRDefault="00800C8B" w:rsidP="00800C8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  <w:szCs w:val="21"/>
              </w:rPr>
            </w:pPr>
          </w:p>
          <w:p w14:paraId="550CE729" w14:textId="76314E05" w:rsidR="00800C8B" w:rsidRPr="00C720AD" w:rsidRDefault="00800C8B" w:rsidP="00800C8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pacing w:val="-10"/>
                <w:sz w:val="22"/>
                <w:szCs w:val="21"/>
              </w:rPr>
            </w:pPr>
            <w:r w:rsidRPr="00C720AD">
              <w:rPr>
                <w:rFonts w:ascii="UD デジタル 教科書体 NP-R" w:eastAsia="UD デジタル 教科書体 NP-R" w:hint="eastAsia"/>
                <w:b/>
                <w:bCs/>
                <w:spacing w:val="-10"/>
                <w:sz w:val="22"/>
                <w:szCs w:val="21"/>
              </w:rPr>
              <w:t>仮説への立ち返り</w:t>
            </w:r>
          </w:p>
        </w:tc>
        <w:tc>
          <w:tcPr>
            <w:tcW w:w="3334" w:type="dxa"/>
            <w:shd w:val="clear" w:color="auto" w:fill="auto"/>
          </w:tcPr>
          <w:p w14:paraId="6B0CE5D6" w14:textId="4FD7D8C4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考察の根拠として、図、グラフ、数式をすべて活用し記述することができており、また、仮説の正誤に関わらず、仮説に立ち返ることができている。</w:t>
            </w:r>
          </w:p>
        </w:tc>
        <w:tc>
          <w:tcPr>
            <w:tcW w:w="3334" w:type="dxa"/>
            <w:shd w:val="clear" w:color="auto" w:fill="auto"/>
          </w:tcPr>
          <w:p w14:paraId="68DA29B1" w14:textId="26A3C341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考察の根拠として、図、グラフ、数式をすべて活用し記述することができている。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147E5B52" w14:textId="73865C3E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考察の根拠として、図、グラフ、数式のいずれかを活用することができている。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4E822178" w14:textId="048DA93E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実験結果について記述することができている。</w:t>
            </w:r>
          </w:p>
        </w:tc>
      </w:tr>
      <w:tr w:rsidR="00800C8B" w14:paraId="51551FEA" w14:textId="77777777" w:rsidTr="00480350">
        <w:trPr>
          <w:trHeight w:val="1599"/>
          <w:jc w:val="center"/>
        </w:trPr>
        <w:tc>
          <w:tcPr>
            <w:tcW w:w="1837" w:type="dxa"/>
            <w:vAlign w:val="center"/>
          </w:tcPr>
          <w:p w14:paraId="53FD3152" w14:textId="0D24FA32" w:rsidR="00800C8B" w:rsidRPr="00C720AD" w:rsidRDefault="00800C8B" w:rsidP="00800C8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pacing w:val="-10"/>
                <w:sz w:val="22"/>
                <w:szCs w:val="21"/>
              </w:rPr>
            </w:pPr>
            <w:r w:rsidRPr="00C720AD">
              <w:rPr>
                <w:rFonts w:ascii="UD デジタル 教科書体 NP-R" w:eastAsia="UD デジタル 教科書体 NP-R" w:hint="eastAsia"/>
                <w:b/>
                <w:bCs/>
                <w:spacing w:val="-10"/>
                <w:sz w:val="22"/>
                <w:szCs w:val="21"/>
              </w:rPr>
              <w:t>科学用語を用いた</w:t>
            </w:r>
          </w:p>
          <w:p w14:paraId="5F991C43" w14:textId="09A5335F" w:rsidR="00800C8B" w:rsidRPr="002917A4" w:rsidRDefault="00800C8B" w:rsidP="00800C8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bCs/>
                <w:sz w:val="22"/>
                <w:szCs w:val="21"/>
              </w:rPr>
            </w:pPr>
            <w:r w:rsidRPr="002917A4">
              <w:rPr>
                <w:rFonts w:ascii="UD デジタル 教科書体 NP-R" w:eastAsia="UD デジタル 教科書体 NP-R" w:hint="eastAsia"/>
                <w:b/>
                <w:bCs/>
                <w:sz w:val="22"/>
                <w:szCs w:val="21"/>
              </w:rPr>
              <w:t>適切な表現</w:t>
            </w:r>
          </w:p>
        </w:tc>
        <w:tc>
          <w:tcPr>
            <w:tcW w:w="3334" w:type="dxa"/>
            <w:shd w:val="clear" w:color="auto" w:fill="auto"/>
          </w:tcPr>
          <w:p w14:paraId="0FDE28AF" w14:textId="49A26698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関連するすべての科学用語を正確に使用することができている。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58CB7C18" w14:textId="7646C276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科学用語を正確に使用することができている。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1164793E" w14:textId="139F22A1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実験結果を基に現象を正しく捉え、自分の言葉で記述することができている。</w:t>
            </w:r>
          </w:p>
        </w:tc>
        <w:tc>
          <w:tcPr>
            <w:tcW w:w="3334" w:type="dxa"/>
            <w:shd w:val="clear" w:color="auto" w:fill="auto"/>
          </w:tcPr>
          <w:p w14:paraId="568BEECD" w14:textId="5B003468" w:rsidR="00800C8B" w:rsidRPr="00ED731A" w:rsidRDefault="00800C8B" w:rsidP="00800C8B">
            <w:pPr>
              <w:spacing w:line="240" w:lineRule="exact"/>
              <w:rPr>
                <w:rFonts w:ascii="UD デジタル 教科書体 NP-R" w:eastAsia="UD デジタル 教科書体 NP-R"/>
                <w:color w:val="FF0000"/>
                <w:szCs w:val="21"/>
              </w:rPr>
            </w:pPr>
            <w:r w:rsidRPr="00ED731A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実験結果を基に自分の言葉で記述することができている。</w:t>
            </w:r>
          </w:p>
        </w:tc>
      </w:tr>
      <w:bookmarkEnd w:id="2"/>
      <w:bookmarkEnd w:id="3"/>
    </w:tbl>
    <w:p w14:paraId="60945753" w14:textId="77777777" w:rsidR="00605F9E" w:rsidRDefault="00605F9E" w:rsidP="005D27E2"/>
    <w:sectPr w:rsidR="00605F9E" w:rsidSect="006B0CEA">
      <w:headerReference w:type="default" r:id="rId7"/>
      <w:pgSz w:w="16838" w:h="11906" w:orient="landscape" w:code="9"/>
      <w:pgMar w:top="1701" w:right="851" w:bottom="1701" w:left="851" w:header="850" w:footer="283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72106" w14:textId="77777777" w:rsidR="006F3DBF" w:rsidRDefault="006F3DBF" w:rsidP="006F3DBF">
      <w:r>
        <w:separator/>
      </w:r>
    </w:p>
  </w:endnote>
  <w:endnote w:type="continuationSeparator" w:id="0">
    <w:p w14:paraId="708E1FCB" w14:textId="77777777" w:rsidR="006F3DBF" w:rsidRDefault="006F3DBF" w:rsidP="006F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5897E" w14:textId="77777777" w:rsidR="006F3DBF" w:rsidRDefault="006F3DBF" w:rsidP="006F3DBF">
      <w:r>
        <w:separator/>
      </w:r>
    </w:p>
  </w:footnote>
  <w:footnote w:type="continuationSeparator" w:id="0">
    <w:p w14:paraId="795430C2" w14:textId="77777777" w:rsidR="006F3DBF" w:rsidRDefault="006F3DBF" w:rsidP="006F3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3D41" w14:textId="2B52A8AD" w:rsidR="002917A4" w:rsidRDefault="002917A4">
    <w:pPr>
      <w:pStyle w:val="a6"/>
    </w:pPr>
    <w:r w:rsidRPr="002917A4">
      <w:rPr>
        <w:rFonts w:ascii="UD デジタル 教科書体 NP-R" w:eastAsia="UD デジタル 教科書体 NP-R" w:hint="eastAsia"/>
      </w:rPr>
      <w:t>高等学校理科　物理　「</w:t>
    </w:r>
    <w:r w:rsidR="00800C8B">
      <w:rPr>
        <w:rFonts w:ascii="UD デジタル 教科書体 NP-R" w:eastAsia="UD デジタル 教科書体 NP-R" w:hint="eastAsia"/>
      </w:rPr>
      <w:t>渦電流</w:t>
    </w:r>
    <w:r w:rsidRPr="002917A4">
      <w:rPr>
        <w:rFonts w:ascii="UD デジタル 教科書体 NP-R" w:eastAsia="UD デジタル 教科書体 NP-R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9E"/>
    <w:rsid w:val="00010DF5"/>
    <w:rsid w:val="00075C0D"/>
    <w:rsid w:val="00082696"/>
    <w:rsid w:val="000A0624"/>
    <w:rsid w:val="000D427A"/>
    <w:rsid w:val="000F127C"/>
    <w:rsid w:val="000F7601"/>
    <w:rsid w:val="000F7AC5"/>
    <w:rsid w:val="00107347"/>
    <w:rsid w:val="0012138C"/>
    <w:rsid w:val="00122484"/>
    <w:rsid w:val="00167420"/>
    <w:rsid w:val="001C3729"/>
    <w:rsid w:val="001D7A14"/>
    <w:rsid w:val="001E280D"/>
    <w:rsid w:val="00207398"/>
    <w:rsid w:val="002125CA"/>
    <w:rsid w:val="00226265"/>
    <w:rsid w:val="00242BD3"/>
    <w:rsid w:val="002575B1"/>
    <w:rsid w:val="00273356"/>
    <w:rsid w:val="002917A4"/>
    <w:rsid w:val="002A16F1"/>
    <w:rsid w:val="002D2A9F"/>
    <w:rsid w:val="002F162C"/>
    <w:rsid w:val="003044AC"/>
    <w:rsid w:val="003108E4"/>
    <w:rsid w:val="00333848"/>
    <w:rsid w:val="00337E0E"/>
    <w:rsid w:val="00342C66"/>
    <w:rsid w:val="00346F84"/>
    <w:rsid w:val="003B4760"/>
    <w:rsid w:val="003C09CB"/>
    <w:rsid w:val="003D2B5F"/>
    <w:rsid w:val="003E3937"/>
    <w:rsid w:val="003F7559"/>
    <w:rsid w:val="00456304"/>
    <w:rsid w:val="004600E7"/>
    <w:rsid w:val="00480DD7"/>
    <w:rsid w:val="004C72D8"/>
    <w:rsid w:val="004D5177"/>
    <w:rsid w:val="004E7192"/>
    <w:rsid w:val="004F3FAE"/>
    <w:rsid w:val="004F54E8"/>
    <w:rsid w:val="00541059"/>
    <w:rsid w:val="0054199F"/>
    <w:rsid w:val="00554126"/>
    <w:rsid w:val="005807DA"/>
    <w:rsid w:val="005C475B"/>
    <w:rsid w:val="005C54AF"/>
    <w:rsid w:val="005D27E2"/>
    <w:rsid w:val="005E0E9C"/>
    <w:rsid w:val="005E48BA"/>
    <w:rsid w:val="005E53D9"/>
    <w:rsid w:val="005F0F94"/>
    <w:rsid w:val="005F7BC4"/>
    <w:rsid w:val="00605F9E"/>
    <w:rsid w:val="00633F26"/>
    <w:rsid w:val="006618E5"/>
    <w:rsid w:val="006821AF"/>
    <w:rsid w:val="006B0CEA"/>
    <w:rsid w:val="006C6AF9"/>
    <w:rsid w:val="006D12D0"/>
    <w:rsid w:val="006F3DBF"/>
    <w:rsid w:val="00700E2A"/>
    <w:rsid w:val="0070491D"/>
    <w:rsid w:val="007C0273"/>
    <w:rsid w:val="007C353F"/>
    <w:rsid w:val="007E0888"/>
    <w:rsid w:val="007E744D"/>
    <w:rsid w:val="007F1A62"/>
    <w:rsid w:val="007F2063"/>
    <w:rsid w:val="00800C8B"/>
    <w:rsid w:val="00825F3B"/>
    <w:rsid w:val="008323F3"/>
    <w:rsid w:val="00833236"/>
    <w:rsid w:val="00843338"/>
    <w:rsid w:val="00854A47"/>
    <w:rsid w:val="00863FE3"/>
    <w:rsid w:val="0087336F"/>
    <w:rsid w:val="008843C5"/>
    <w:rsid w:val="00893C25"/>
    <w:rsid w:val="008A13A0"/>
    <w:rsid w:val="008B0AD5"/>
    <w:rsid w:val="008B196B"/>
    <w:rsid w:val="008B46F4"/>
    <w:rsid w:val="008C611B"/>
    <w:rsid w:val="008E6940"/>
    <w:rsid w:val="00904B2A"/>
    <w:rsid w:val="00931DB2"/>
    <w:rsid w:val="00963867"/>
    <w:rsid w:val="00976A26"/>
    <w:rsid w:val="009A4933"/>
    <w:rsid w:val="009D7EB3"/>
    <w:rsid w:val="00A0053C"/>
    <w:rsid w:val="00A07F0D"/>
    <w:rsid w:val="00A1576B"/>
    <w:rsid w:val="00A336B9"/>
    <w:rsid w:val="00A66F65"/>
    <w:rsid w:val="00A91E5B"/>
    <w:rsid w:val="00AB015E"/>
    <w:rsid w:val="00AC5758"/>
    <w:rsid w:val="00AC58BC"/>
    <w:rsid w:val="00AC6783"/>
    <w:rsid w:val="00AE395F"/>
    <w:rsid w:val="00B16E5B"/>
    <w:rsid w:val="00B231D0"/>
    <w:rsid w:val="00B252C7"/>
    <w:rsid w:val="00B32E7F"/>
    <w:rsid w:val="00B34913"/>
    <w:rsid w:val="00B81151"/>
    <w:rsid w:val="00B96552"/>
    <w:rsid w:val="00BA09BC"/>
    <w:rsid w:val="00BD5F40"/>
    <w:rsid w:val="00BE1A5B"/>
    <w:rsid w:val="00BE2EE3"/>
    <w:rsid w:val="00C21C7B"/>
    <w:rsid w:val="00C720AD"/>
    <w:rsid w:val="00CB37DE"/>
    <w:rsid w:val="00D006F8"/>
    <w:rsid w:val="00D51777"/>
    <w:rsid w:val="00D6697F"/>
    <w:rsid w:val="00D84654"/>
    <w:rsid w:val="00D97BFA"/>
    <w:rsid w:val="00DC03D7"/>
    <w:rsid w:val="00DE4407"/>
    <w:rsid w:val="00E1122C"/>
    <w:rsid w:val="00E15396"/>
    <w:rsid w:val="00E46026"/>
    <w:rsid w:val="00ED731A"/>
    <w:rsid w:val="00ED7C77"/>
    <w:rsid w:val="00F21AE5"/>
    <w:rsid w:val="00F310D1"/>
    <w:rsid w:val="00F3385C"/>
    <w:rsid w:val="00F35FF3"/>
    <w:rsid w:val="00F4045B"/>
    <w:rsid w:val="00F43599"/>
    <w:rsid w:val="00F45E9E"/>
    <w:rsid w:val="00F608CA"/>
    <w:rsid w:val="00FB589A"/>
    <w:rsid w:val="00FD3AC3"/>
    <w:rsid w:val="00FE5A4B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A9E13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33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3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3DBF"/>
  </w:style>
  <w:style w:type="paragraph" w:styleId="a8">
    <w:name w:val="footer"/>
    <w:basedOn w:val="a"/>
    <w:link w:val="a9"/>
    <w:uiPriority w:val="99"/>
    <w:unhideWhenUsed/>
    <w:rsid w:val="006F3D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309B-E043-479E-AC3C-F2C7D4DC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2021-01-26T08:09:00Z</dcterms:created>
  <dcterms:modified xsi:type="dcterms:W3CDTF">2021-02-03T07:14:00Z</dcterms:modified>
</cp:coreProperties>
</file>